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D80F4" w14:textId="3F90C3BF" w:rsidR="00EC75F1" w:rsidRDefault="00EC75F1" w:rsidP="00EC75F1">
      <w:pPr>
        <w:autoSpaceDE w:val="0"/>
        <w:autoSpaceDN w:val="0"/>
        <w:jc w:val="center"/>
        <w:rPr>
          <w:b/>
          <w:szCs w:val="21"/>
        </w:rPr>
      </w:pPr>
      <w:bookmarkStart w:id="0" w:name="_GoBack"/>
      <w:bookmarkEnd w:id="0"/>
    </w:p>
    <w:p w14:paraId="7D48E4A2" w14:textId="77777777" w:rsidR="00EC75F1" w:rsidRPr="00A7527B" w:rsidRDefault="00EC75F1" w:rsidP="00EC75F1">
      <w:pPr>
        <w:jc w:val="center"/>
        <w:rPr>
          <w:b/>
          <w:bCs/>
          <w:sz w:val="24"/>
        </w:rPr>
      </w:pPr>
      <w:r w:rsidRPr="00A7527B">
        <w:rPr>
          <w:rFonts w:ascii="ＭＳ 明朝" w:hAnsi="ＭＳ 明朝" w:hint="eastAsia"/>
          <w:b/>
          <w:bCs/>
          <w:sz w:val="24"/>
        </w:rPr>
        <w:t>投資信託累積投資規定</w:t>
      </w:r>
    </w:p>
    <w:p w14:paraId="70780C71" w14:textId="77777777" w:rsidR="00EC75F1" w:rsidRDefault="00EC75F1" w:rsidP="00CB022A">
      <w:pPr>
        <w:autoSpaceDE w:val="0"/>
        <w:autoSpaceDN w:val="0"/>
      </w:pPr>
    </w:p>
    <w:p w14:paraId="488232FA" w14:textId="77777777" w:rsidR="00EC75F1" w:rsidRDefault="00EC75F1" w:rsidP="00EC75F1">
      <w:pPr>
        <w:autoSpaceDE w:val="0"/>
        <w:autoSpaceDN w:val="0"/>
      </w:pPr>
    </w:p>
    <w:p w14:paraId="45EA7843" w14:textId="77777777" w:rsidR="00EC75F1" w:rsidRDefault="00EC75F1" w:rsidP="00EC75F1">
      <w:pPr>
        <w:jc w:val="center"/>
        <w:rPr>
          <w:rFonts w:ascii="ＭＳ 明朝" w:hAnsi="ＭＳ 明朝"/>
        </w:rPr>
      </w:pPr>
    </w:p>
    <w:p w14:paraId="4F147B34" w14:textId="77777777" w:rsidR="00EC75F1" w:rsidRDefault="00EC75F1" w:rsidP="00EC75F1">
      <w:pPr>
        <w:rPr>
          <w:rFonts w:ascii="ＭＳ 明朝" w:hAnsi="ＭＳ 明朝"/>
          <w:szCs w:val="21"/>
        </w:rPr>
      </w:pPr>
    </w:p>
    <w:p w14:paraId="6514E8A1" w14:textId="77777777" w:rsidR="00810A07" w:rsidRDefault="00810A07" w:rsidP="00810A07">
      <w:pPr>
        <w:rPr>
          <w:rFonts w:ascii="ＭＳ ゴシック" w:eastAsia="ＭＳ ゴシック" w:hAnsi="ＭＳ ゴシック"/>
          <w:szCs w:val="21"/>
        </w:rPr>
      </w:pPr>
      <w:r>
        <w:rPr>
          <w:rFonts w:ascii="ＭＳ ゴシック" w:eastAsia="ＭＳ ゴシック" w:hAnsi="ＭＳ ゴシック" w:hint="eastAsia"/>
          <w:szCs w:val="21"/>
        </w:rPr>
        <w:t>第１条（趣旨）</w:t>
      </w:r>
    </w:p>
    <w:p w14:paraId="6E2D6431" w14:textId="4F43C41C" w:rsidR="00671FC1" w:rsidRPr="001906F6" w:rsidRDefault="00810A07" w:rsidP="00671FC1">
      <w:pPr>
        <w:widowControl/>
        <w:ind w:leftChars="100" w:left="198" w:firstLineChars="100" w:firstLine="198"/>
        <w:jc w:val="left"/>
        <w:rPr>
          <w:kern w:val="0"/>
          <w:szCs w:val="21"/>
        </w:rPr>
      </w:pPr>
      <w:r>
        <w:rPr>
          <w:rFonts w:ascii="ＭＳ 明朝" w:hAnsi="ＭＳ 明朝" w:hint="eastAsia"/>
          <w:szCs w:val="21"/>
        </w:rPr>
        <w:t>この規定は、当組合とお客様との間の</w:t>
      </w:r>
      <w:r>
        <w:rPr>
          <w:rFonts w:hint="eastAsia"/>
        </w:rPr>
        <w:t>投資信託受益権（以下「投資信託」といいます。）の</w:t>
      </w:r>
      <w:r>
        <w:rPr>
          <w:rFonts w:ascii="ＭＳ 明朝" w:hAnsi="ＭＳ 明朝" w:hint="eastAsia"/>
          <w:szCs w:val="21"/>
        </w:rPr>
        <w:t>累積投資に関する取決めです。当組合は、この規定に従って累積投資契約（以下「契約」といいます。）をお客様と締結します。</w:t>
      </w:r>
    </w:p>
    <w:p w14:paraId="16549B8F" w14:textId="79EF2DBD" w:rsidR="00810A07" w:rsidRPr="001906F6" w:rsidRDefault="00810A07" w:rsidP="00810A07">
      <w:pPr>
        <w:ind w:left="198" w:hangingChars="100" w:hanging="198"/>
        <w:rPr>
          <w:rFonts w:ascii="ＭＳ 明朝" w:hAnsi="ＭＳ 明朝"/>
          <w:szCs w:val="21"/>
        </w:rPr>
      </w:pPr>
      <w:r>
        <w:rPr>
          <w:rFonts w:ascii="ＭＳ 明朝" w:hAnsi="ＭＳ 明朝" w:hint="eastAsia"/>
          <w:szCs w:val="21"/>
        </w:rPr>
        <w:t>２　この規定に別段の定めがないときは、「投資信託総合取引規定」および同規定第２条各号に定める約款・規定またはこの契約にかかる投資信託の目論見書等の定めによるものとします。</w:t>
      </w:r>
    </w:p>
    <w:p w14:paraId="46E082A2" w14:textId="77777777" w:rsidR="00810A07" w:rsidRDefault="00810A07" w:rsidP="00810A07">
      <w:pPr>
        <w:rPr>
          <w:rFonts w:ascii="ＭＳ ゴシック" w:eastAsia="ＭＳ ゴシック" w:hAnsi="ＭＳ ゴシック"/>
          <w:szCs w:val="21"/>
        </w:rPr>
      </w:pPr>
      <w:r>
        <w:rPr>
          <w:rFonts w:ascii="ＭＳ ゴシック" w:eastAsia="ＭＳ ゴシック" w:hAnsi="ＭＳ ゴシック" w:hint="eastAsia"/>
          <w:szCs w:val="21"/>
        </w:rPr>
        <w:t>第２条（定義）</w:t>
      </w:r>
    </w:p>
    <w:p w14:paraId="2E0057D8" w14:textId="68AB1C78" w:rsidR="00810A07" w:rsidRPr="00FE09DC" w:rsidRDefault="00810A07" w:rsidP="001E7495">
      <w:pPr>
        <w:ind w:leftChars="100" w:left="198" w:firstLineChars="100" w:firstLine="198"/>
        <w:rPr>
          <w:rFonts w:ascii="ＭＳ 明朝" w:hAnsi="ＭＳ 明朝"/>
          <w:szCs w:val="21"/>
        </w:rPr>
      </w:pPr>
      <w:r w:rsidRPr="00FE09DC">
        <w:rPr>
          <w:rFonts w:ascii="ＭＳ 明朝" w:hAnsi="ＭＳ 明朝" w:hint="eastAsia"/>
          <w:szCs w:val="21"/>
        </w:rPr>
        <w:t>累積投資とは、あらかじめ定められた方法により、お客様が指定した貯金口座（以下「指定口座」といいます。）から引き落した金銭またはお客様が当組合に開設された投資信託受益権振替決済口座（以下「振替決済口座」といいます。）に記載または記録されている投資信託の収益分配金等の金銭を対価として同一種類の投資信託の買付注文を継続的に行い、取得することをいいます。なお、累積投資のためにお客様の金銭を分別する口座を「累積投資口座」といいます。累積投資口座でお預かりしたお客様の金銭に対しては、利子、その他いかなる名目による対価も支払いません。</w:t>
      </w:r>
    </w:p>
    <w:p w14:paraId="5E36CEE3" w14:textId="77777777" w:rsidR="00810A07" w:rsidRPr="00FE09DC" w:rsidRDefault="00810A07" w:rsidP="00810A07">
      <w:pPr>
        <w:rPr>
          <w:rFonts w:ascii="ＭＳ ゴシック" w:eastAsia="ＭＳ ゴシック" w:hAnsi="ＭＳ ゴシック"/>
          <w:szCs w:val="21"/>
        </w:rPr>
      </w:pPr>
      <w:r w:rsidRPr="00FE09DC">
        <w:rPr>
          <w:rFonts w:ascii="ＭＳ ゴシック" w:eastAsia="ＭＳ ゴシック" w:hAnsi="ＭＳ ゴシック" w:hint="eastAsia"/>
          <w:szCs w:val="21"/>
        </w:rPr>
        <w:t>第３条（申込方法）</w:t>
      </w:r>
    </w:p>
    <w:p w14:paraId="77ABB700" w14:textId="77777777" w:rsidR="00810A07" w:rsidRPr="00FE09DC" w:rsidRDefault="00810A07" w:rsidP="00CB022A">
      <w:pPr>
        <w:ind w:left="198" w:firstLineChars="100" w:firstLine="198"/>
        <w:rPr>
          <w:rFonts w:ascii="ＭＳ 明朝" w:hAnsi="ＭＳ 明朝"/>
          <w:szCs w:val="21"/>
        </w:rPr>
      </w:pPr>
      <w:r w:rsidRPr="00FE09DC">
        <w:rPr>
          <w:rFonts w:ascii="ＭＳ 明朝" w:hAnsi="ＭＳ 明朝" w:hint="eastAsia"/>
          <w:szCs w:val="21"/>
        </w:rPr>
        <w:t>お客様は、当組合所定の申込書に必要事項を記載のうえ、届出の印鑑を押印し、これを当組合の本・支店または事務所（以下「取扱店」といいます。）に提出することによって契約を申し込むものとします。</w:t>
      </w:r>
    </w:p>
    <w:p w14:paraId="1198615B" w14:textId="77777777" w:rsidR="00810A07" w:rsidRPr="00FE09DC" w:rsidRDefault="00810A07" w:rsidP="00810A07">
      <w:pPr>
        <w:ind w:left="198" w:hangingChars="100" w:hanging="198"/>
        <w:rPr>
          <w:rFonts w:ascii="ＭＳ 明朝" w:hAnsi="ＭＳ 明朝"/>
          <w:szCs w:val="21"/>
        </w:rPr>
      </w:pPr>
      <w:r w:rsidRPr="00FE09DC">
        <w:rPr>
          <w:rFonts w:ascii="ＭＳ 明朝" w:hAnsi="ＭＳ 明朝" w:hint="eastAsia"/>
          <w:szCs w:val="21"/>
        </w:rPr>
        <w:t>２　当組合が当該申込みを承諾し、契約が締結されたとき、当組合は直ちにお客様の累積投資口座を開設します。</w:t>
      </w:r>
    </w:p>
    <w:p w14:paraId="1DDB9855" w14:textId="587965B3" w:rsidR="00810A07" w:rsidRPr="00FE09DC" w:rsidRDefault="00810A07" w:rsidP="00810A07">
      <w:pPr>
        <w:ind w:left="198" w:hangingChars="100" w:hanging="198"/>
      </w:pPr>
      <w:r w:rsidRPr="00FE09DC">
        <w:rPr>
          <w:rFonts w:hint="eastAsia"/>
        </w:rPr>
        <w:t>３　お客様が、個別の投資信託について累積投資を開始するときは、前二項により契約を締結したうえで、当組合に申し込むものとします。ただし、当組合が累積投資の対象としていない投資信託については当該申込みをすることはできません。</w:t>
      </w:r>
    </w:p>
    <w:p w14:paraId="62F5F9A8" w14:textId="28528057" w:rsidR="00671FC1" w:rsidRPr="00FE09DC" w:rsidRDefault="00671FC1" w:rsidP="00671FC1">
      <w:pPr>
        <w:widowControl/>
        <w:ind w:leftChars="100" w:left="198" w:firstLineChars="100" w:firstLine="198"/>
        <w:jc w:val="left"/>
        <w:rPr>
          <w:rFonts w:ascii="ＭＳ 明朝" w:hAnsi="ＭＳ 明朝" w:cs="ＭＳ Ｐゴシック"/>
          <w:szCs w:val="21"/>
        </w:rPr>
      </w:pPr>
      <w:r w:rsidRPr="00FE09DC">
        <w:rPr>
          <w:rFonts w:ascii="ＭＳ 明朝" w:hAnsi="ＭＳ 明朝" w:hint="eastAsia"/>
          <w:szCs w:val="21"/>
        </w:rPr>
        <w:t>なお、当組合が累積投資取引の対象として定める投資信託、および当組合が別に定める「非課税上場株式等管理、非課税累積投資および特定非課税累積投資に関する約款」</w:t>
      </w:r>
      <w:r w:rsidR="00714B44" w:rsidRPr="00FE09DC">
        <w:rPr>
          <w:rFonts w:ascii="ＭＳ 明朝" w:hAnsi="ＭＳ 明朝" w:hint="eastAsia"/>
          <w:szCs w:val="21"/>
        </w:rPr>
        <w:t>（以下、本条において「当該約款」といいます。）</w:t>
      </w:r>
      <w:r w:rsidRPr="00FE09DC">
        <w:rPr>
          <w:rFonts w:ascii="ＭＳ 明朝" w:hAnsi="ＭＳ 明朝" w:hint="eastAsia"/>
          <w:szCs w:val="21"/>
        </w:rPr>
        <w:t>に基づき、お客様が特定累積投資勘定にかかる累積投資契約による取引（以下「つみたて投資枠」といいます。）での取得のお申込みをすることができる投資信託の銘柄については、当組合ホームページ等に掲載するものとします。</w:t>
      </w:r>
      <w:r w:rsidRPr="00FE09DC">
        <w:rPr>
          <w:rFonts w:ascii="ＭＳ 明朝" w:hAnsi="ＭＳ 明朝" w:cs="ＭＳ Ｐゴシック" w:hint="eastAsia"/>
          <w:szCs w:val="21"/>
        </w:rPr>
        <w:t xml:space="preserve"> </w:t>
      </w:r>
    </w:p>
    <w:p w14:paraId="443F5B2B" w14:textId="08BDC5A3" w:rsidR="00671FC1" w:rsidRPr="00FE09DC" w:rsidRDefault="001F58A0" w:rsidP="00810A07">
      <w:pPr>
        <w:ind w:left="198" w:hangingChars="100" w:hanging="198"/>
      </w:pPr>
      <w:r w:rsidRPr="00FE09DC">
        <w:rPr>
          <w:rFonts w:hint="eastAsia"/>
        </w:rPr>
        <w:t xml:space="preserve">　　</w:t>
      </w:r>
      <w:r w:rsidRPr="00FE09DC">
        <w:rPr>
          <w:rFonts w:ascii="ＭＳ 明朝" w:hAnsi="ＭＳ 明朝" w:hint="eastAsia"/>
          <w:kern w:val="0"/>
          <w:szCs w:val="21"/>
        </w:rPr>
        <w:t>ただし、当該約款により、お客様が</w:t>
      </w:r>
      <w:r w:rsidRPr="00FE09DC">
        <w:rPr>
          <w:rFonts w:ascii="ＭＳ 明朝" w:hAnsi="ＭＳ 明朝" w:hint="eastAsia"/>
          <w:szCs w:val="21"/>
        </w:rPr>
        <w:t>つみたて投資枠のみ</w:t>
      </w:r>
      <w:r w:rsidRPr="00FE09DC">
        <w:rPr>
          <w:rFonts w:ascii="ＭＳ 明朝" w:hAnsi="ＭＳ 明朝" w:hint="eastAsia"/>
          <w:kern w:val="0"/>
          <w:szCs w:val="21"/>
        </w:rPr>
        <w:t>での取得のお申込みをすることができる投資信託の銘柄については、</w:t>
      </w:r>
      <w:r w:rsidRPr="00FE09DC">
        <w:rPr>
          <w:rFonts w:ascii="ＭＳ 明朝" w:hAnsi="ＭＳ 明朝" w:hint="eastAsia"/>
          <w:szCs w:val="21"/>
        </w:rPr>
        <w:t>つみたて投資枠</w:t>
      </w:r>
      <w:r w:rsidRPr="00FE09DC">
        <w:rPr>
          <w:rFonts w:ascii="ＭＳ 明朝" w:hAnsi="ＭＳ 明朝" w:hint="eastAsia"/>
          <w:kern w:val="0"/>
          <w:szCs w:val="21"/>
        </w:rPr>
        <w:t>以外の累積投資取引による取得のお申込みや、累積投資取引によらない取得のお申込みをすることはできません。</w:t>
      </w:r>
    </w:p>
    <w:p w14:paraId="1F498189" w14:textId="00124481" w:rsidR="00671FC1" w:rsidRPr="00FE09DC" w:rsidRDefault="00810A07" w:rsidP="00810A07">
      <w:pPr>
        <w:ind w:left="198" w:hangingChars="100" w:hanging="198"/>
      </w:pPr>
      <w:r w:rsidRPr="00FE09DC">
        <w:rPr>
          <w:rFonts w:hint="eastAsia"/>
        </w:rPr>
        <w:t>４　累積投資取引のうち</w:t>
      </w:r>
      <w:r w:rsidR="00C016FD" w:rsidRPr="00FE09DC">
        <w:rPr>
          <w:rFonts w:hint="eastAsia"/>
          <w:szCs w:val="21"/>
        </w:rPr>
        <w:t>定期定額</w:t>
      </w:r>
      <w:r w:rsidRPr="00FE09DC">
        <w:rPr>
          <w:rFonts w:hint="eastAsia"/>
        </w:rPr>
        <w:t>購入取引の申込方法等については「「ＪＡの投信つみたてサービス」取扱規定」によるものとします。</w:t>
      </w:r>
    </w:p>
    <w:p w14:paraId="19AFF1F8" w14:textId="578F8C77" w:rsidR="001F58A0" w:rsidRPr="00FE09DC" w:rsidRDefault="001F58A0" w:rsidP="00810A07">
      <w:pPr>
        <w:ind w:left="198" w:hangingChars="100" w:hanging="198"/>
      </w:pPr>
      <w:r w:rsidRPr="00FE09DC">
        <w:rPr>
          <w:rFonts w:hint="eastAsia"/>
        </w:rPr>
        <w:t xml:space="preserve">　</w:t>
      </w:r>
      <w:r w:rsidR="00714B44" w:rsidRPr="00FE09DC">
        <w:rPr>
          <w:rFonts w:hint="eastAsia"/>
        </w:rPr>
        <w:t xml:space="preserve">　</w:t>
      </w:r>
      <w:r w:rsidRPr="00FE09DC">
        <w:rPr>
          <w:rFonts w:ascii="ＭＳ 明朝" w:hAnsi="ＭＳ 明朝" w:hint="eastAsia"/>
          <w:kern w:val="0"/>
          <w:szCs w:val="21"/>
        </w:rPr>
        <w:t>また、累積投資取引のうち、「ＪＡの投信つみたてサービス」の申込方法等については、「「Ｊ</w:t>
      </w:r>
      <w:r w:rsidRPr="00FE09DC">
        <w:rPr>
          <w:rFonts w:ascii="ＭＳ 明朝" w:hAnsi="ＭＳ 明朝" w:hint="eastAsia"/>
          <w:szCs w:val="21"/>
        </w:rPr>
        <w:t>Ａの投信つみたてサービス</w:t>
      </w:r>
      <w:r w:rsidRPr="00FE09DC">
        <w:rPr>
          <w:rFonts w:ascii="ＭＳ 明朝" w:hAnsi="ＭＳ 明朝" w:hint="eastAsia"/>
          <w:kern w:val="0"/>
          <w:szCs w:val="21"/>
        </w:rPr>
        <w:t>」取扱規定」によるものとし、つみたて</w:t>
      </w:r>
      <w:r w:rsidR="00714B44" w:rsidRPr="00FE09DC">
        <w:rPr>
          <w:rFonts w:ascii="ＭＳ 明朝" w:hAnsi="ＭＳ 明朝" w:hint="eastAsia"/>
          <w:kern w:val="0"/>
          <w:szCs w:val="21"/>
        </w:rPr>
        <w:t>投資枠</w:t>
      </w:r>
      <w:r w:rsidRPr="00FE09DC">
        <w:rPr>
          <w:rFonts w:ascii="ＭＳ 明朝" w:hAnsi="ＭＳ 明朝" w:hint="eastAsia"/>
          <w:kern w:val="0"/>
          <w:szCs w:val="21"/>
        </w:rPr>
        <w:t>でのお申込みをされる場合には、</w:t>
      </w:r>
      <w:r w:rsidR="00714B44" w:rsidRPr="00FE09DC">
        <w:rPr>
          <w:rFonts w:ascii="ＭＳ 明朝" w:hAnsi="ＭＳ 明朝" w:hint="eastAsia"/>
          <w:kern w:val="0"/>
          <w:szCs w:val="21"/>
        </w:rPr>
        <w:t>当該</w:t>
      </w:r>
      <w:r w:rsidRPr="00FE09DC">
        <w:rPr>
          <w:rFonts w:ascii="ＭＳ 明朝" w:hAnsi="ＭＳ 明朝" w:hint="eastAsia"/>
          <w:kern w:val="0"/>
          <w:szCs w:val="21"/>
        </w:rPr>
        <w:t>約款の規定にも従うものとします。</w:t>
      </w:r>
    </w:p>
    <w:p w14:paraId="0C6FB82B" w14:textId="3112E6B9" w:rsidR="00C016FD" w:rsidRPr="00671FC1" w:rsidRDefault="00C016FD" w:rsidP="00810A07">
      <w:pPr>
        <w:ind w:left="198" w:hangingChars="100" w:hanging="198"/>
      </w:pPr>
    </w:p>
    <w:p w14:paraId="34F90172" w14:textId="77777777" w:rsidR="00C016FD" w:rsidRDefault="00C016FD" w:rsidP="00810A07">
      <w:pPr>
        <w:ind w:left="198" w:hangingChars="100" w:hanging="198"/>
        <w:sectPr w:rsidR="00C016FD" w:rsidSect="008B134A">
          <w:footerReference w:type="default" r:id="rId7"/>
          <w:pgSz w:w="11906" w:h="16838" w:code="9"/>
          <w:pgMar w:top="1701" w:right="1134" w:bottom="1134" w:left="1418" w:header="851" w:footer="284" w:gutter="0"/>
          <w:pgNumType w:start="161"/>
          <w:cols w:space="425"/>
          <w:docGrid w:type="linesAndChars" w:linePitch="333" w:charSpace="-2506"/>
        </w:sectPr>
      </w:pPr>
    </w:p>
    <w:p w14:paraId="4FB93241" w14:textId="3EE40537" w:rsidR="00810A07" w:rsidRDefault="00810A07" w:rsidP="00422C6D">
      <w:pPr>
        <w:rPr>
          <w:rFonts w:ascii="ＭＳ ゴシック" w:eastAsia="ＭＳ ゴシック" w:hAnsi="ＭＳ ゴシック"/>
          <w:szCs w:val="21"/>
        </w:rPr>
      </w:pPr>
      <w:r>
        <w:rPr>
          <w:rFonts w:ascii="ＭＳ ゴシック" w:eastAsia="ＭＳ ゴシック" w:hAnsi="ＭＳ ゴシック" w:hint="eastAsia"/>
          <w:szCs w:val="21"/>
        </w:rPr>
        <w:lastRenderedPageBreak/>
        <w:t>第４条（金銭の払込み）</w:t>
      </w:r>
    </w:p>
    <w:p w14:paraId="0EC9B82A" w14:textId="77777777" w:rsidR="00810A07" w:rsidRDefault="00810A07" w:rsidP="00810A07">
      <w:pPr>
        <w:ind w:leftChars="100" w:left="198" w:firstLineChars="100" w:firstLine="198"/>
        <w:rPr>
          <w:rFonts w:ascii="ＭＳ 明朝" w:hAnsi="ＭＳ 明朝"/>
          <w:szCs w:val="21"/>
        </w:rPr>
      </w:pPr>
      <w:r>
        <w:rPr>
          <w:rFonts w:ascii="ＭＳ 明朝" w:hAnsi="ＭＳ 明朝" w:hint="eastAsia"/>
          <w:szCs w:val="21"/>
        </w:rPr>
        <w:t>お客様は、この契約にかかる投資信託の買付けにあてるため（第７条に定める収益分配金の再投資にかかる買付けを除きます。）、一回の払込みにつき１万円以上の金銭（以下「払込金」といいます。）を払い込むことができます。</w:t>
      </w:r>
      <w:r w:rsidR="00C016FD" w:rsidRPr="0019782C">
        <w:rPr>
          <w:rFonts w:ascii="ＭＳ 明朝" w:hAnsi="ＭＳ 明朝" w:hint="eastAsia"/>
          <w:szCs w:val="21"/>
        </w:rPr>
        <w:t>ただし、「ＪＡの投信つみたてサービス」を利用して買付ける場合は、一回の払込みにつき５千円以上の金銭を払い込むことができます。</w:t>
      </w:r>
    </w:p>
    <w:p w14:paraId="6BAAE0D9" w14:textId="77777777" w:rsidR="00810A07" w:rsidRDefault="00810A07" w:rsidP="00810A07">
      <w:pPr>
        <w:rPr>
          <w:rFonts w:ascii="ＭＳ ゴシック" w:eastAsia="ＭＳ ゴシック" w:hAnsi="ＭＳ ゴシック"/>
          <w:szCs w:val="21"/>
        </w:rPr>
      </w:pPr>
      <w:r>
        <w:rPr>
          <w:rFonts w:ascii="ＭＳ ゴシック" w:eastAsia="ＭＳ ゴシック" w:hAnsi="ＭＳ ゴシック" w:hint="eastAsia"/>
          <w:szCs w:val="21"/>
        </w:rPr>
        <w:t>第５条（買付方法、時期および価額）</w:t>
      </w:r>
    </w:p>
    <w:p w14:paraId="1580CA83" w14:textId="77777777" w:rsidR="001E69F8" w:rsidRDefault="00810A07" w:rsidP="00810A07">
      <w:pPr>
        <w:ind w:leftChars="100" w:left="198" w:firstLineChars="100" w:firstLine="198"/>
        <w:rPr>
          <w:rFonts w:ascii="ＭＳ 明朝" w:hAnsi="ＭＳ 明朝"/>
          <w:szCs w:val="21"/>
        </w:rPr>
      </w:pPr>
      <w:r>
        <w:rPr>
          <w:rFonts w:ascii="ＭＳ 明朝" w:hAnsi="ＭＳ 明朝" w:hint="eastAsia"/>
          <w:szCs w:val="21"/>
        </w:rPr>
        <w:t>当組合は、お客様からこの契約にかかる投資信託の買付けの申込みがあったとき、当該投資信託の目論見書の定めるところに従い、当該投資信託の買付けを行います。</w:t>
      </w:r>
    </w:p>
    <w:p w14:paraId="08E5C9CD"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２　前項の買付価額は、当該投資信託の目論見書に定める所定の基準価額に所定の手数料等を加えた金額とします。</w:t>
      </w:r>
    </w:p>
    <w:p w14:paraId="727B7883"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３　買い付けられたこの契約にかかる投資信託の所有権およびその収益分配金または元本に対する請求権は、当該買付けのあった日からお客様に帰属するものとします。</w:t>
      </w:r>
    </w:p>
    <w:p w14:paraId="05CB3EE4" w14:textId="77777777" w:rsidR="00672BB5" w:rsidRDefault="00672BB5" w:rsidP="00672BB5">
      <w:pPr>
        <w:rPr>
          <w:rFonts w:ascii="ＭＳ ゴシック" w:eastAsia="ＭＳ ゴシック" w:hAnsi="ＭＳ ゴシック"/>
          <w:szCs w:val="21"/>
        </w:rPr>
      </w:pPr>
      <w:r>
        <w:rPr>
          <w:rFonts w:ascii="ＭＳ ゴシック" w:eastAsia="ＭＳ ゴシック" w:hAnsi="ＭＳ ゴシック" w:hint="eastAsia"/>
          <w:szCs w:val="21"/>
        </w:rPr>
        <w:t>第６条（管理）</w:t>
      </w:r>
    </w:p>
    <w:p w14:paraId="613869B2" w14:textId="77777777" w:rsidR="00672BB5" w:rsidRDefault="00672BB5" w:rsidP="00672BB5">
      <w:pPr>
        <w:ind w:leftChars="100" w:left="198" w:firstLineChars="100" w:firstLine="198"/>
        <w:rPr>
          <w:rFonts w:ascii="ＭＳ 明朝" w:hAnsi="ＭＳ 明朝"/>
          <w:szCs w:val="21"/>
        </w:rPr>
      </w:pPr>
      <w:r>
        <w:rPr>
          <w:rFonts w:ascii="ＭＳ 明朝" w:hAnsi="ＭＳ 明朝" w:hint="eastAsia"/>
          <w:szCs w:val="21"/>
        </w:rPr>
        <w:t>この契約にかかる投資信託は、お客様の振替決済口座に記載または記録することにより管理します。</w:t>
      </w:r>
    </w:p>
    <w:p w14:paraId="4C3BCCB2"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２　当組合は、当該管理にかかる管理料を申し受けることがあります。この場合には、投資信託受益権振替決済口座管理規定第12条が準用されるものとします。</w:t>
      </w:r>
    </w:p>
    <w:p w14:paraId="2D28AC3F"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３　この契約にかかるお客様の権利は、譲渡または質入れすることはできません。</w:t>
      </w:r>
    </w:p>
    <w:p w14:paraId="0C64AFBA" w14:textId="77777777" w:rsidR="00672BB5" w:rsidRDefault="00672BB5" w:rsidP="00672BB5">
      <w:pPr>
        <w:rPr>
          <w:rFonts w:ascii="ＭＳ ゴシック" w:eastAsia="ＭＳ ゴシック" w:hAnsi="ＭＳ ゴシック"/>
          <w:szCs w:val="21"/>
        </w:rPr>
      </w:pPr>
      <w:r>
        <w:rPr>
          <w:rFonts w:ascii="ＭＳ ゴシック" w:eastAsia="ＭＳ ゴシック" w:hAnsi="ＭＳ ゴシック" w:hint="eastAsia"/>
          <w:szCs w:val="21"/>
        </w:rPr>
        <w:t>第７条（収益分配金の再投資）</w:t>
      </w:r>
    </w:p>
    <w:p w14:paraId="0DB626F3" w14:textId="77777777" w:rsidR="00672BB5" w:rsidRDefault="00672BB5" w:rsidP="00672BB5">
      <w:pPr>
        <w:ind w:leftChars="100" w:left="198" w:firstLineChars="100" w:firstLine="198"/>
        <w:rPr>
          <w:rFonts w:ascii="ＭＳ 明朝" w:hAnsi="ＭＳ 明朝"/>
          <w:szCs w:val="21"/>
        </w:rPr>
      </w:pPr>
      <w:r>
        <w:rPr>
          <w:rFonts w:ascii="ＭＳ 明朝" w:hAnsi="ＭＳ 明朝" w:hint="eastAsia"/>
          <w:szCs w:val="21"/>
        </w:rPr>
        <w:t>前条第１項に基づき管理されている投資信託の収益分配金は、お客様に代わって当組合が受領し、所定の税金を差し引いた後、お客様の累積投資口座に繰り入れ、その全額をもって決算日の基準価額により当該投資信託の買付けを行います。</w:t>
      </w:r>
    </w:p>
    <w:p w14:paraId="2000EA7B" w14:textId="77777777" w:rsidR="00672BB5" w:rsidRDefault="00672BB5" w:rsidP="00672BB5">
      <w:pPr>
        <w:ind w:leftChars="100" w:left="198" w:firstLineChars="100" w:firstLine="198"/>
        <w:rPr>
          <w:rFonts w:ascii="ＭＳ 明朝" w:hAnsi="ＭＳ 明朝"/>
          <w:szCs w:val="21"/>
        </w:rPr>
      </w:pPr>
      <w:r>
        <w:rPr>
          <w:rFonts w:ascii="ＭＳ 明朝" w:hAnsi="ＭＳ 明朝" w:hint="eastAsia"/>
          <w:szCs w:val="21"/>
        </w:rPr>
        <w:t>なお、この場合、購入の手数料は無料とします。</w:t>
      </w:r>
    </w:p>
    <w:p w14:paraId="5E303EFB"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２　当組合は、お客様から申し出があった場合、前項の買付けを中止し、当該投資信託の収益分配金を定期的に受け取る契約をお客様と締結することができます。この場合、収益分配金は指定口座に入金します。</w:t>
      </w:r>
    </w:p>
    <w:p w14:paraId="7BED1C44" w14:textId="574243CB" w:rsidR="00672BB5" w:rsidRPr="00EC08A5" w:rsidRDefault="00672BB5" w:rsidP="00542611">
      <w:pPr>
        <w:ind w:left="198" w:hangingChars="100" w:hanging="198"/>
        <w:rPr>
          <w:rFonts w:ascii="ＭＳ 明朝" w:hAnsi="ＭＳ 明朝"/>
        </w:rPr>
      </w:pPr>
      <w:r w:rsidRPr="00EC08A5">
        <w:rPr>
          <w:rFonts w:ascii="ＭＳ 明朝" w:hAnsi="ＭＳ 明朝" w:hint="eastAsia"/>
          <w:szCs w:val="21"/>
        </w:rPr>
        <w:t xml:space="preserve">３　</w:t>
      </w:r>
      <w:r w:rsidRPr="00EC08A5">
        <w:rPr>
          <w:rFonts w:ascii="ＭＳ 明朝" w:hAnsi="ＭＳ 明朝" w:hint="eastAsia"/>
        </w:rPr>
        <w:t>非課税口座（租税特別措置法第37条の14第５項第１号に定める非課税口座をいいます。</w:t>
      </w:r>
      <w:r w:rsidR="007157AE" w:rsidRPr="00EC08A5">
        <w:rPr>
          <w:rFonts w:ascii="ＭＳ 明朝" w:hAnsi="ＭＳ 明朝" w:hint="eastAsia"/>
        </w:rPr>
        <w:t>以下同じ。</w:t>
      </w:r>
      <w:r w:rsidRPr="00EC08A5">
        <w:rPr>
          <w:rFonts w:ascii="ＭＳ 明朝" w:hAnsi="ＭＳ 明朝" w:hint="eastAsia"/>
        </w:rPr>
        <w:t>）</w:t>
      </w:r>
      <w:r w:rsidR="00844752" w:rsidRPr="00EC08A5">
        <w:rPr>
          <w:rFonts w:ascii="ＭＳ 明朝" w:hAnsi="ＭＳ 明朝" w:hint="eastAsia"/>
        </w:rPr>
        <w:t>の非課税管理勘定（同条同項第</w:t>
      </w:r>
      <w:r w:rsidR="004066C2" w:rsidRPr="00EC08A5">
        <w:rPr>
          <w:rFonts w:ascii="ＭＳ 明朝" w:hAnsi="ＭＳ 明朝" w:hint="eastAsia"/>
        </w:rPr>
        <w:t>３</w:t>
      </w:r>
      <w:r w:rsidR="00844752" w:rsidRPr="00EC08A5">
        <w:rPr>
          <w:rFonts w:ascii="ＭＳ 明朝" w:hAnsi="ＭＳ 明朝" w:hint="eastAsia"/>
        </w:rPr>
        <w:t>号に定める非課税管理勘定をいいます。</w:t>
      </w:r>
      <w:r w:rsidR="007157AE" w:rsidRPr="00EC08A5">
        <w:rPr>
          <w:rFonts w:ascii="ＭＳ 明朝" w:hAnsi="ＭＳ 明朝" w:hint="eastAsia"/>
        </w:rPr>
        <w:t>以下同じ。</w:t>
      </w:r>
      <w:r w:rsidR="00844752" w:rsidRPr="00EC08A5">
        <w:rPr>
          <w:rFonts w:ascii="ＭＳ 明朝" w:hAnsi="ＭＳ 明朝" w:hint="eastAsia"/>
        </w:rPr>
        <w:t>）</w:t>
      </w:r>
      <w:r w:rsidRPr="00EC08A5">
        <w:rPr>
          <w:rFonts w:ascii="ＭＳ 明朝" w:hAnsi="ＭＳ 明朝" w:hint="eastAsia"/>
        </w:rPr>
        <w:t>で管理されている投資信託の収益分配金の再投資は、お客様が特定口座と一般口座を保有されている場合は特定口座で、特定口座を保有されていない場合は一般口座で買付</w:t>
      </w:r>
      <w:r w:rsidR="00686869" w:rsidRPr="00EC08A5">
        <w:rPr>
          <w:rFonts w:ascii="ＭＳ 明朝" w:hAnsi="ＭＳ 明朝" w:hint="eastAsia"/>
        </w:rPr>
        <w:t>け</w:t>
      </w:r>
      <w:r w:rsidRPr="00EC08A5">
        <w:rPr>
          <w:rFonts w:ascii="ＭＳ 明朝" w:hAnsi="ＭＳ 明朝" w:hint="eastAsia"/>
        </w:rPr>
        <w:t>を行います。</w:t>
      </w:r>
      <w:r w:rsidR="00DD21AE" w:rsidRPr="00EC08A5">
        <w:rPr>
          <w:rFonts w:ascii="ＭＳ 明朝" w:hAnsi="ＭＳ 明朝" w:hint="eastAsia"/>
        </w:rPr>
        <w:t>ただし、非課税口座の非課税管理勘定で管理されている投資信託のうち特定非課税管理勘定に受け入れることができるもの</w:t>
      </w:r>
      <w:r w:rsidR="001D0BED">
        <w:rPr>
          <w:rFonts w:ascii="ＭＳ 明朝" w:hAnsi="ＭＳ 明朝" w:hint="eastAsia"/>
        </w:rPr>
        <w:t>にかかる</w:t>
      </w:r>
      <w:r w:rsidR="00DD21AE" w:rsidRPr="00EC08A5">
        <w:rPr>
          <w:rFonts w:ascii="ＭＳ 明朝" w:hAnsi="ＭＳ 明朝" w:hint="eastAsia"/>
        </w:rPr>
        <w:t>収益分配金</w:t>
      </w:r>
      <w:r w:rsidR="0010386A" w:rsidRPr="00EC08A5">
        <w:rPr>
          <w:rFonts w:ascii="ＭＳ 明朝" w:hAnsi="ＭＳ 明朝" w:hint="eastAsia"/>
        </w:rPr>
        <w:t>の再投資については、再投資を行う年分の特定非課税管理勘定の非課税限度額を超えない範囲で</w:t>
      </w:r>
      <w:r w:rsidR="00DD21AE" w:rsidRPr="00EC08A5">
        <w:rPr>
          <w:rFonts w:ascii="ＭＳ 明朝" w:hAnsi="ＭＳ 明朝" w:hint="eastAsia"/>
        </w:rPr>
        <w:t>、</w:t>
      </w:r>
      <w:r w:rsidR="0010386A" w:rsidRPr="00EC08A5">
        <w:rPr>
          <w:rFonts w:ascii="ＭＳ 明朝" w:hAnsi="ＭＳ 明朝" w:hint="eastAsia"/>
        </w:rPr>
        <w:t>当該勘定での</w:t>
      </w:r>
      <w:r w:rsidR="00DD21AE" w:rsidRPr="00EC08A5">
        <w:rPr>
          <w:rFonts w:ascii="ＭＳ 明朝" w:hAnsi="ＭＳ 明朝" w:hint="eastAsia"/>
        </w:rPr>
        <w:t>再投資ができるものとします。</w:t>
      </w:r>
    </w:p>
    <w:p w14:paraId="52624AEC" w14:textId="2A0FC00B" w:rsidR="00E730E7" w:rsidRPr="00EC08A5" w:rsidRDefault="00E730E7" w:rsidP="00672BB5">
      <w:pPr>
        <w:ind w:left="198" w:hangingChars="100" w:hanging="198"/>
        <w:rPr>
          <w:rFonts w:ascii="ＭＳ 明朝" w:hAnsi="ＭＳ 明朝"/>
        </w:rPr>
      </w:pPr>
      <w:r w:rsidRPr="00EC08A5">
        <w:rPr>
          <w:rFonts w:ascii="ＭＳ 明朝" w:hAnsi="ＭＳ 明朝" w:hint="eastAsia"/>
        </w:rPr>
        <w:t>４　非課税口座の累積投資勘定で管理されている投資信託の収益分配金の再投資は、</w:t>
      </w:r>
      <w:r w:rsidR="0044133D" w:rsidRPr="00EC08A5">
        <w:rPr>
          <w:rFonts w:ascii="ＭＳ 明朝" w:hAnsi="ＭＳ 明朝" w:hint="eastAsia"/>
        </w:rPr>
        <w:t>お客様が特定口座と一般口座を保有されている場合は特定口座で、特定口座を保有されていない場合は一般口座で買付</w:t>
      </w:r>
      <w:r w:rsidR="00686869" w:rsidRPr="00EC08A5">
        <w:rPr>
          <w:rFonts w:ascii="ＭＳ 明朝" w:hAnsi="ＭＳ 明朝" w:hint="eastAsia"/>
        </w:rPr>
        <w:t>け</w:t>
      </w:r>
      <w:r w:rsidR="0044133D" w:rsidRPr="00EC08A5">
        <w:rPr>
          <w:rFonts w:ascii="ＭＳ 明朝" w:hAnsi="ＭＳ 明朝" w:hint="eastAsia"/>
        </w:rPr>
        <w:t>を行います。</w:t>
      </w:r>
    </w:p>
    <w:p w14:paraId="4B2D4D01" w14:textId="23A89BB6" w:rsidR="00FB632E" w:rsidRPr="00EC08A5" w:rsidRDefault="00FB632E" w:rsidP="00FB632E">
      <w:pPr>
        <w:ind w:left="198" w:hangingChars="100" w:hanging="198"/>
        <w:rPr>
          <w:rFonts w:ascii="ＭＳ 明朝" w:hAnsi="ＭＳ 明朝"/>
        </w:rPr>
      </w:pPr>
      <w:r w:rsidRPr="00EC08A5">
        <w:rPr>
          <w:rFonts w:ascii="ＭＳ 明朝" w:hAnsi="ＭＳ 明朝" w:hint="eastAsia"/>
        </w:rPr>
        <w:t>５</w:t>
      </w:r>
      <w:r w:rsidR="009070F7" w:rsidRPr="00EC08A5">
        <w:rPr>
          <w:rFonts w:ascii="ＭＳ 明朝" w:hAnsi="ＭＳ 明朝" w:hint="eastAsia"/>
        </w:rPr>
        <w:t xml:space="preserve">　</w:t>
      </w:r>
      <w:r w:rsidRPr="00EC08A5">
        <w:rPr>
          <w:rFonts w:ascii="ＭＳ 明朝" w:hAnsi="ＭＳ 明朝" w:hint="eastAsia"/>
        </w:rPr>
        <w:t>非課税口座の特定累積投資勘定で管理されている投資信託の収益分配金の再投資は、再投資を行う年分の特定累積投資勘定の非課税限度額を超えない範囲で、当該勘定での買付</w:t>
      </w:r>
      <w:r w:rsidR="0015257E">
        <w:rPr>
          <w:rFonts w:ascii="ＭＳ 明朝" w:hAnsi="ＭＳ 明朝" w:hint="eastAsia"/>
        </w:rPr>
        <w:t>け</w:t>
      </w:r>
      <w:r w:rsidRPr="00EC08A5">
        <w:rPr>
          <w:rFonts w:ascii="ＭＳ 明朝" w:hAnsi="ＭＳ 明朝" w:hint="eastAsia"/>
        </w:rPr>
        <w:t>を行います。</w:t>
      </w:r>
    </w:p>
    <w:p w14:paraId="23F00CD6" w14:textId="37F6B580" w:rsidR="00FB632E" w:rsidRPr="00EC08A5" w:rsidRDefault="00FB632E" w:rsidP="00FB632E">
      <w:pPr>
        <w:ind w:left="198" w:hangingChars="100" w:hanging="198"/>
        <w:rPr>
          <w:rFonts w:ascii="ＭＳ 明朝" w:hAnsi="ＭＳ 明朝"/>
        </w:rPr>
      </w:pPr>
      <w:r w:rsidRPr="00EC08A5">
        <w:rPr>
          <w:rFonts w:ascii="ＭＳ 明朝" w:hAnsi="ＭＳ 明朝" w:hint="eastAsia"/>
        </w:rPr>
        <w:t>６</w:t>
      </w:r>
      <w:r w:rsidR="009070F7" w:rsidRPr="00EC08A5">
        <w:rPr>
          <w:rFonts w:ascii="ＭＳ 明朝" w:hAnsi="ＭＳ 明朝" w:hint="eastAsia"/>
        </w:rPr>
        <w:t xml:space="preserve">　</w:t>
      </w:r>
      <w:r w:rsidRPr="00EC08A5">
        <w:rPr>
          <w:rFonts w:ascii="ＭＳ 明朝" w:hAnsi="ＭＳ 明朝" w:hint="eastAsia"/>
        </w:rPr>
        <w:t>非課税口座の特定非課税管理勘定で管理されている投資信託の収益分配金の再投資は、再投資を行う年分の特定非課税管理勘定の非課税限度額を超えない範囲で</w:t>
      </w:r>
      <w:r w:rsidR="00A25CA3" w:rsidRPr="00EC08A5">
        <w:rPr>
          <w:rFonts w:ascii="ＭＳ 明朝" w:hAnsi="ＭＳ 明朝" w:hint="eastAsia"/>
        </w:rPr>
        <w:t>、当該勘定</w:t>
      </w:r>
      <w:r w:rsidRPr="00EC08A5">
        <w:rPr>
          <w:rFonts w:ascii="ＭＳ 明朝" w:hAnsi="ＭＳ 明朝" w:hint="eastAsia"/>
        </w:rPr>
        <w:t>で</w:t>
      </w:r>
      <w:r w:rsidR="00A25CA3" w:rsidRPr="00EC08A5">
        <w:rPr>
          <w:rFonts w:ascii="ＭＳ 明朝" w:hAnsi="ＭＳ 明朝" w:hint="eastAsia"/>
        </w:rPr>
        <w:t>の</w:t>
      </w:r>
      <w:r w:rsidRPr="00EC08A5">
        <w:rPr>
          <w:rFonts w:ascii="ＭＳ 明朝" w:hAnsi="ＭＳ 明朝" w:hint="eastAsia"/>
        </w:rPr>
        <w:t>買付</w:t>
      </w:r>
      <w:r w:rsidR="0015257E">
        <w:rPr>
          <w:rFonts w:ascii="ＭＳ 明朝" w:hAnsi="ＭＳ 明朝" w:hint="eastAsia"/>
        </w:rPr>
        <w:t>け</w:t>
      </w:r>
      <w:r w:rsidRPr="00EC08A5">
        <w:rPr>
          <w:rFonts w:ascii="ＭＳ 明朝" w:hAnsi="ＭＳ 明朝" w:hint="eastAsia"/>
        </w:rPr>
        <w:t>を行います。</w:t>
      </w:r>
    </w:p>
    <w:p w14:paraId="313AC58B" w14:textId="390C8C92" w:rsidR="00FB632E" w:rsidRPr="00EC08A5" w:rsidRDefault="00FB632E" w:rsidP="00FB632E">
      <w:pPr>
        <w:ind w:left="198" w:hangingChars="100" w:hanging="198"/>
        <w:rPr>
          <w:rFonts w:ascii="ＭＳ 明朝" w:hAnsi="ＭＳ 明朝"/>
        </w:rPr>
      </w:pPr>
      <w:r w:rsidRPr="00EC08A5">
        <w:rPr>
          <w:rFonts w:ascii="ＭＳ 明朝" w:hAnsi="ＭＳ 明朝" w:hint="eastAsia"/>
        </w:rPr>
        <w:t>７</w:t>
      </w:r>
      <w:r w:rsidR="009070F7" w:rsidRPr="00EC08A5">
        <w:rPr>
          <w:rFonts w:ascii="ＭＳ 明朝" w:hAnsi="ＭＳ 明朝" w:hint="eastAsia"/>
        </w:rPr>
        <w:t xml:space="preserve">　</w:t>
      </w:r>
      <w:r w:rsidR="0010386A" w:rsidRPr="00EC08A5">
        <w:rPr>
          <w:rFonts w:ascii="ＭＳ 明朝" w:hAnsi="ＭＳ 明朝" w:hint="eastAsia"/>
        </w:rPr>
        <w:t>第３項および</w:t>
      </w:r>
      <w:r w:rsidRPr="00EC08A5">
        <w:rPr>
          <w:rFonts w:ascii="ＭＳ 明朝" w:hAnsi="ＭＳ 明朝" w:hint="eastAsia"/>
        </w:rPr>
        <w:t>前二項の適用に関し、</w:t>
      </w:r>
      <w:r w:rsidR="0010386A" w:rsidRPr="00EC08A5">
        <w:rPr>
          <w:rFonts w:ascii="ＭＳ 明朝" w:hAnsi="ＭＳ 明朝" w:hint="eastAsia"/>
        </w:rPr>
        <w:t>当該</w:t>
      </w:r>
      <w:r w:rsidRPr="00EC08A5">
        <w:rPr>
          <w:rFonts w:ascii="ＭＳ 明朝" w:hAnsi="ＭＳ 明朝" w:hint="eastAsia"/>
        </w:rPr>
        <w:t>各勘定の非課税限度額を超える部分については、お客様が特定口座を開設されている場合は特定口座で、開設されていない場合は一般口座での買付</w:t>
      </w:r>
      <w:r w:rsidR="0015257E">
        <w:rPr>
          <w:rFonts w:ascii="ＭＳ 明朝" w:hAnsi="ＭＳ 明朝" w:hint="eastAsia"/>
        </w:rPr>
        <w:t>け</w:t>
      </w:r>
      <w:r w:rsidRPr="00EC08A5">
        <w:rPr>
          <w:rFonts w:ascii="ＭＳ 明朝" w:hAnsi="ＭＳ 明朝" w:hint="eastAsia"/>
        </w:rPr>
        <w:t>を行います。</w:t>
      </w:r>
    </w:p>
    <w:p w14:paraId="0BD68C7B" w14:textId="77777777" w:rsidR="00FB632E" w:rsidRDefault="00FB632E" w:rsidP="00C016FD">
      <w:pPr>
        <w:ind w:left="198" w:hangingChars="100" w:hanging="198"/>
        <w:sectPr w:rsidR="00FB632E" w:rsidSect="008B134A">
          <w:footerReference w:type="default" r:id="rId8"/>
          <w:pgSz w:w="11906" w:h="16838" w:code="9"/>
          <w:pgMar w:top="1701" w:right="1134" w:bottom="1134" w:left="1418" w:header="851" w:footer="284" w:gutter="0"/>
          <w:pgNumType w:start="161"/>
          <w:cols w:space="425"/>
          <w:docGrid w:type="linesAndChars" w:linePitch="333" w:charSpace="-2506"/>
        </w:sectPr>
      </w:pPr>
    </w:p>
    <w:p w14:paraId="4A5501C2" w14:textId="0087398D" w:rsidR="000A07A0" w:rsidRDefault="000A07A0" w:rsidP="000A07A0">
      <w:pPr>
        <w:rPr>
          <w:rFonts w:ascii="ＭＳ ゴシック" w:eastAsia="ＭＳ ゴシック" w:hAnsi="ＭＳ ゴシック"/>
          <w:szCs w:val="21"/>
        </w:rPr>
      </w:pPr>
      <w:r>
        <w:rPr>
          <w:rFonts w:ascii="ＭＳ ゴシック" w:eastAsia="ＭＳ ゴシック" w:hAnsi="ＭＳ ゴシック" w:hint="eastAsia"/>
          <w:szCs w:val="21"/>
        </w:rPr>
        <w:lastRenderedPageBreak/>
        <w:t>第８条（金銭の返還等）</w:t>
      </w:r>
    </w:p>
    <w:p w14:paraId="771DB927" w14:textId="4B95760D" w:rsidR="000A07A0" w:rsidRPr="000A07A0" w:rsidRDefault="000A07A0" w:rsidP="000A07A0">
      <w:pPr>
        <w:ind w:leftChars="100" w:left="198" w:firstLineChars="100" w:firstLine="198"/>
        <w:rPr>
          <w:rFonts w:ascii="ＭＳ 明朝" w:hAnsi="ＭＳ 明朝"/>
          <w:szCs w:val="21"/>
        </w:rPr>
      </w:pPr>
      <w:r>
        <w:rPr>
          <w:rFonts w:ascii="ＭＳ 明朝" w:hAnsi="ＭＳ 明朝" w:hint="eastAsia"/>
          <w:szCs w:val="21"/>
        </w:rPr>
        <w:t>当組合は、この契約に基づく投資信託の償還金については、所定の期日に指定口座に入金します。</w:t>
      </w:r>
    </w:p>
    <w:p w14:paraId="63383EF3" w14:textId="5EB7765E" w:rsidR="00855AA5" w:rsidRDefault="00855AA5" w:rsidP="00670FBC">
      <w:pPr>
        <w:ind w:left="198" w:hangingChars="100" w:hanging="198"/>
        <w:rPr>
          <w:rFonts w:ascii="ＭＳ 明朝" w:hAnsi="ＭＳ 明朝"/>
          <w:szCs w:val="21"/>
        </w:rPr>
      </w:pPr>
      <w:r>
        <w:rPr>
          <w:rFonts w:ascii="ＭＳ 明朝" w:hAnsi="ＭＳ 明朝" w:hint="eastAsia"/>
          <w:szCs w:val="21"/>
        </w:rPr>
        <w:t>２　お客様が、この契約に基づく投資信託の解約の請求をする場合には、所定の手続きによってこれを行うものとし、解約代金は所定の期日に指定口座に入金します。</w:t>
      </w:r>
    </w:p>
    <w:p w14:paraId="24E34836" w14:textId="62C11039" w:rsidR="00670FBC" w:rsidRDefault="00670FBC" w:rsidP="00670FBC">
      <w:pPr>
        <w:ind w:left="198" w:hangingChars="100" w:hanging="198"/>
        <w:rPr>
          <w:rFonts w:ascii="ＭＳ 明朝" w:hAnsi="ＭＳ 明朝"/>
          <w:szCs w:val="21"/>
        </w:rPr>
      </w:pPr>
      <w:r>
        <w:rPr>
          <w:rFonts w:ascii="ＭＳ 明朝" w:hAnsi="ＭＳ 明朝" w:hint="eastAsia"/>
          <w:szCs w:val="21"/>
        </w:rPr>
        <w:t>３　前項の解約価額は、当該投資信託の目論見書に定める価額とし、当該解約価額から所定の手数料等を差し引いた金額を指定口座に入金します。</w:t>
      </w:r>
    </w:p>
    <w:p w14:paraId="3E5613C3" w14:textId="06D3446D" w:rsidR="00670FBC" w:rsidRDefault="00670FBC" w:rsidP="00670FBC">
      <w:pPr>
        <w:ind w:left="198" w:hangingChars="100" w:hanging="198"/>
      </w:pPr>
      <w:r>
        <w:rPr>
          <w:rFonts w:hint="eastAsia"/>
        </w:rPr>
        <w:t>４　お客様が、この契約に基づく投資信託を他の口座管理機関へ振り替える場合には、投資信託受益権振替決済口座管理規定第７条の規定に従って振替の手続きをするものとします。</w:t>
      </w:r>
    </w:p>
    <w:p w14:paraId="2F10070C" w14:textId="0EE86892" w:rsidR="00A510A7" w:rsidRDefault="00A510A7" w:rsidP="00A510A7">
      <w:pPr>
        <w:rPr>
          <w:rFonts w:ascii="ＭＳ ゴシック" w:eastAsia="ＭＳ ゴシック" w:hAnsi="ＭＳ ゴシック"/>
          <w:szCs w:val="21"/>
        </w:rPr>
      </w:pPr>
      <w:r>
        <w:rPr>
          <w:rFonts w:ascii="ＭＳ ゴシック" w:eastAsia="ＭＳ ゴシック" w:hAnsi="ＭＳ ゴシック" w:hint="eastAsia"/>
          <w:szCs w:val="21"/>
        </w:rPr>
        <w:t>第９条（スイッチング（乗換））</w:t>
      </w:r>
    </w:p>
    <w:p w14:paraId="14EB2FC7" w14:textId="3F5FB043" w:rsidR="00A510A7" w:rsidRDefault="00A510A7" w:rsidP="00A510A7">
      <w:pPr>
        <w:ind w:leftChars="100" w:left="198" w:firstLineChars="100" w:firstLine="198"/>
        <w:rPr>
          <w:rFonts w:ascii="ＭＳ 明朝" w:hAnsi="ＭＳ 明朝"/>
          <w:szCs w:val="21"/>
        </w:rPr>
      </w:pPr>
      <w:r>
        <w:rPr>
          <w:rFonts w:ascii="ＭＳ 明朝" w:hAnsi="ＭＳ 明朝" w:hint="eastAsia"/>
          <w:szCs w:val="21"/>
        </w:rPr>
        <w:t>投資信託の解約による解約手取金を他の投資信託の買付代金とし、解約および買付けを一組の同時の注文として取り扱うことをスイッチング（乗換）といいます。</w:t>
      </w:r>
    </w:p>
    <w:p w14:paraId="1D94A5A9" w14:textId="42C1486A" w:rsidR="00A510A7" w:rsidRDefault="00A510A7" w:rsidP="00A510A7">
      <w:pPr>
        <w:ind w:left="198" w:hangingChars="100" w:hanging="198"/>
        <w:rPr>
          <w:rFonts w:ascii="ＭＳ 明朝" w:hAnsi="ＭＳ 明朝"/>
          <w:szCs w:val="21"/>
        </w:rPr>
      </w:pPr>
      <w:r>
        <w:rPr>
          <w:rFonts w:ascii="ＭＳ 明朝" w:hAnsi="ＭＳ 明朝" w:hint="eastAsia"/>
          <w:szCs w:val="21"/>
        </w:rPr>
        <w:t>２　スイッチング（乗換）の注文があったときは、第５条および第８条の定めに準じて取り扱います。ただし、この場合、当該投資信託の解約代金から所定の手数料、税金および諸費用等を差し引いた金額をもって他の投資信託の買付注文を行います。スイッチング（乗換）は、この契約に基づく投資信託のうち、当該投資信託の目論見書等にスイッチング（乗換）に関する記載のある投資信託に限り、その記載の範囲内で行うことができます。</w:t>
      </w:r>
    </w:p>
    <w:p w14:paraId="6AA3F8FE" w14:textId="77777777" w:rsidR="00A510A7" w:rsidRDefault="00A510A7" w:rsidP="00A510A7">
      <w:pPr>
        <w:ind w:left="198" w:hangingChars="100" w:hanging="198"/>
        <w:rPr>
          <w:rFonts w:ascii="ＭＳ 明朝" w:hAnsi="ＭＳ 明朝"/>
          <w:szCs w:val="21"/>
        </w:rPr>
      </w:pPr>
      <w:r>
        <w:rPr>
          <w:rFonts w:ascii="ＭＳ 明朝" w:hAnsi="ＭＳ 明朝" w:hint="eastAsia"/>
          <w:szCs w:val="21"/>
        </w:rPr>
        <w:t>３　スイッチング（乗換）の注文については、第４条の定めは適用されません。</w:t>
      </w:r>
    </w:p>
    <w:p w14:paraId="2F9415BF" w14:textId="77777777" w:rsidR="00A510A7" w:rsidRDefault="00A510A7" w:rsidP="00A510A7">
      <w:pPr>
        <w:rPr>
          <w:rFonts w:ascii="ＭＳ ゴシック" w:eastAsia="ＭＳ ゴシック" w:hAnsi="ＭＳ ゴシック"/>
          <w:szCs w:val="21"/>
        </w:rPr>
      </w:pPr>
      <w:r>
        <w:rPr>
          <w:rFonts w:ascii="ＭＳ ゴシック" w:eastAsia="ＭＳ ゴシック" w:hAnsi="ＭＳ ゴシック" w:hint="eastAsia"/>
          <w:szCs w:val="21"/>
        </w:rPr>
        <w:t>第10条（解約）</w:t>
      </w:r>
    </w:p>
    <w:p w14:paraId="5F130252" w14:textId="77777777" w:rsidR="00A510A7" w:rsidRDefault="00A510A7" w:rsidP="00A510A7">
      <w:pPr>
        <w:ind w:leftChars="100" w:left="198" w:firstLineChars="100" w:firstLine="198"/>
        <w:rPr>
          <w:rFonts w:ascii="ＭＳ 明朝" w:hAnsi="ＭＳ 明朝"/>
          <w:szCs w:val="21"/>
        </w:rPr>
      </w:pPr>
      <w:r>
        <w:rPr>
          <w:rFonts w:ascii="ＭＳ 明朝" w:hAnsi="ＭＳ 明朝" w:hint="eastAsia"/>
          <w:szCs w:val="21"/>
        </w:rPr>
        <w:t>この契約は、投資信託総合取引規定第10条第１項または第２項のいずれかに該当したとき、もしくは次の各号のいずれかに該当したときは、解約されるものとします。</w:t>
      </w:r>
    </w:p>
    <w:p w14:paraId="774CFDFE" w14:textId="77777777" w:rsidR="00A510A7" w:rsidRDefault="00A510A7" w:rsidP="00A510A7">
      <w:pPr>
        <w:ind w:leftChars="100" w:left="396" w:hangingChars="100" w:hanging="198"/>
        <w:rPr>
          <w:rFonts w:ascii="ＭＳ 明朝" w:hAnsi="ＭＳ 明朝"/>
          <w:szCs w:val="21"/>
        </w:rPr>
      </w:pPr>
      <w:r>
        <w:rPr>
          <w:rFonts w:ascii="ＭＳ 明朝" w:hAnsi="ＭＳ 明朝" w:hint="eastAsia"/>
          <w:szCs w:val="21"/>
        </w:rPr>
        <w:t>①　お客様から解約の申し出があったとき。</w:t>
      </w:r>
    </w:p>
    <w:p w14:paraId="5FB9034A" w14:textId="77777777" w:rsidR="00A510A7" w:rsidRDefault="00A510A7" w:rsidP="00A510A7">
      <w:pPr>
        <w:ind w:leftChars="100" w:left="396" w:hangingChars="100" w:hanging="198"/>
        <w:rPr>
          <w:rFonts w:ascii="ＭＳ 明朝" w:hAnsi="ＭＳ 明朝"/>
          <w:szCs w:val="21"/>
        </w:rPr>
      </w:pPr>
      <w:r>
        <w:rPr>
          <w:rFonts w:ascii="ＭＳ 明朝" w:hAnsi="ＭＳ 明朝" w:hint="eastAsia"/>
          <w:szCs w:val="21"/>
        </w:rPr>
        <w:t>②　当組合が累積投資業務を営むことができなくなったとき。</w:t>
      </w:r>
    </w:p>
    <w:p w14:paraId="57C01E33" w14:textId="77777777" w:rsidR="00A510A7" w:rsidRDefault="00A510A7" w:rsidP="00A510A7">
      <w:pPr>
        <w:ind w:leftChars="100" w:left="396" w:hangingChars="100" w:hanging="198"/>
        <w:rPr>
          <w:rFonts w:ascii="ＭＳ 明朝" w:hAnsi="ＭＳ 明朝"/>
          <w:szCs w:val="21"/>
        </w:rPr>
      </w:pPr>
      <w:r>
        <w:rPr>
          <w:rFonts w:ascii="ＭＳ 明朝" w:hAnsi="ＭＳ 明朝" w:hint="eastAsia"/>
          <w:szCs w:val="21"/>
        </w:rPr>
        <w:t>③　この契約にかかる投資信託が償還されたとき。</w:t>
      </w:r>
    </w:p>
    <w:p w14:paraId="00536F16" w14:textId="77777777" w:rsidR="00A510A7" w:rsidRDefault="00A510A7" w:rsidP="00A510A7">
      <w:pPr>
        <w:adjustRightInd w:val="0"/>
        <w:ind w:left="198" w:hangingChars="100" w:hanging="198"/>
        <w:jc w:val="left"/>
        <w:rPr>
          <w:rFonts w:ascii="ＭＳ 明朝" w:hAnsi="ＭＳ 明朝" w:cs="ＭＳ ゴシック"/>
          <w:kern w:val="0"/>
          <w:szCs w:val="21"/>
          <w:lang w:val="ja-JP"/>
        </w:rPr>
      </w:pPr>
      <w:r>
        <w:rPr>
          <w:rFonts w:ascii="ＭＳ 明朝" w:hAnsi="ＭＳ 明朝" w:hint="eastAsia"/>
          <w:szCs w:val="21"/>
        </w:rPr>
        <w:t>２　この契約が解約されたとき、当組合は、管理中のこの契約にかかる投資信託については、お客様の申し出により、他の口座管理機関に振替を行います。ただし、振替先口座管理機関において当該投資信託の取扱いをしていない等の理由で振替不能な場合には、遅滞なく当該投資信託を解約し、現金にてお客様に返還します。</w:t>
      </w:r>
    </w:p>
    <w:p w14:paraId="46D54A50" w14:textId="77777777" w:rsidR="007420E5" w:rsidRDefault="007420E5" w:rsidP="007420E5">
      <w:pPr>
        <w:adjustRightInd w:val="0"/>
        <w:jc w:val="right"/>
        <w:rPr>
          <w:rFonts w:ascii="ＭＳ 明朝" w:hAnsi="ＭＳ 明朝" w:cs="ＭＳ ゴシック"/>
          <w:kern w:val="0"/>
          <w:szCs w:val="21"/>
          <w:lang w:val="ja-JP"/>
        </w:rPr>
      </w:pPr>
      <w:r>
        <w:rPr>
          <w:rFonts w:ascii="ＭＳ 明朝" w:hAnsi="ＭＳ 明朝" w:cs="ＭＳ ゴシック" w:hint="eastAsia"/>
          <w:kern w:val="0"/>
          <w:szCs w:val="21"/>
          <w:lang w:val="ja-JP"/>
        </w:rPr>
        <w:t>以　上</w:t>
      </w:r>
    </w:p>
    <w:p w14:paraId="7F90B095" w14:textId="3F352C93" w:rsidR="007420E5" w:rsidRDefault="007420E5" w:rsidP="007420E5">
      <w:pPr>
        <w:ind w:left="198" w:hangingChars="100" w:hanging="198"/>
      </w:pPr>
      <w:r>
        <w:rPr>
          <w:rFonts w:hint="eastAsia"/>
        </w:rPr>
        <w:t>２０２５年１月１日</w:t>
      </w:r>
    </w:p>
    <w:p w14:paraId="5E10CF76" w14:textId="77777777" w:rsidR="004335CC" w:rsidRDefault="004335CC" w:rsidP="00A510A7">
      <w:pPr>
        <w:adjustRightInd w:val="0"/>
        <w:jc w:val="left"/>
        <w:rPr>
          <w:rFonts w:ascii="ＭＳ 明朝" w:hAnsi="ＭＳ 明朝" w:cs="ＭＳ ゴシック"/>
          <w:kern w:val="0"/>
          <w:szCs w:val="21"/>
          <w:lang w:val="ja-JP"/>
        </w:rPr>
      </w:pPr>
    </w:p>
    <w:sectPr w:rsidR="004335CC" w:rsidSect="00D911C2">
      <w:footerReference w:type="default" r:id="rId9"/>
      <w:pgSz w:w="11906" w:h="16838" w:code="9"/>
      <w:pgMar w:top="1701" w:right="1134" w:bottom="1134" w:left="1418" w:header="851" w:footer="284" w:gutter="0"/>
      <w:cols w:space="425"/>
      <w:docGrid w:type="linesAndChars" w:linePitch="33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ADE20" w14:textId="77777777" w:rsidR="001635BA" w:rsidRDefault="001635BA">
      <w:r>
        <w:separator/>
      </w:r>
    </w:p>
  </w:endnote>
  <w:endnote w:type="continuationSeparator" w:id="0">
    <w:p w14:paraId="1B1F0E5E" w14:textId="77777777" w:rsidR="001635BA" w:rsidRDefault="0016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671FC1" w:rsidRPr="00743E22" w14:paraId="4EBA1AA4" w14:textId="77777777" w:rsidTr="00743E22">
      <w:trPr>
        <w:trHeight w:val="315"/>
      </w:trPr>
      <w:tc>
        <w:tcPr>
          <w:tcW w:w="3089" w:type="dxa"/>
          <w:shd w:val="clear" w:color="auto" w:fill="auto"/>
        </w:tcPr>
        <w:p w14:paraId="06E98928" w14:textId="77777777" w:rsidR="00671FC1" w:rsidRPr="00743E22" w:rsidRDefault="00671FC1" w:rsidP="00743E22">
          <w:pPr>
            <w:pStyle w:val="a4"/>
            <w:ind w:left="800" w:rightChars="100" w:right="210" w:hanging="800"/>
            <w:rPr>
              <w:rFonts w:hAnsi="ＭＳ 明朝"/>
              <w:sz w:val="16"/>
              <w:szCs w:val="16"/>
            </w:rPr>
          </w:pPr>
        </w:p>
      </w:tc>
      <w:tc>
        <w:tcPr>
          <w:tcW w:w="3235" w:type="dxa"/>
          <w:shd w:val="clear" w:color="auto" w:fill="auto"/>
        </w:tcPr>
        <w:p w14:paraId="483F8744" w14:textId="77777777" w:rsidR="00671FC1" w:rsidRPr="00743E22" w:rsidRDefault="00671FC1" w:rsidP="00743E22">
          <w:pPr>
            <w:pStyle w:val="a4"/>
            <w:ind w:left="800" w:rightChars="100" w:right="210" w:hanging="800"/>
            <w:jc w:val="center"/>
            <w:rPr>
              <w:rFonts w:hAnsi="ＭＳ 明朝"/>
              <w:sz w:val="16"/>
              <w:szCs w:val="16"/>
            </w:rPr>
          </w:pPr>
        </w:p>
      </w:tc>
      <w:tc>
        <w:tcPr>
          <w:tcW w:w="3334" w:type="dxa"/>
          <w:shd w:val="clear" w:color="auto" w:fill="auto"/>
        </w:tcPr>
        <w:p w14:paraId="48351D56" w14:textId="77777777" w:rsidR="00671FC1" w:rsidRPr="00743E22" w:rsidRDefault="00671FC1" w:rsidP="00743E22">
          <w:pPr>
            <w:ind w:rightChars="100" w:right="210"/>
            <w:jc w:val="center"/>
            <w:rPr>
              <w:rFonts w:ascii="ＭＳ ゴシック" w:eastAsia="ＭＳ ゴシック" w:hAnsi="ＭＳ ゴシック"/>
              <w:color w:val="000000"/>
              <w:sz w:val="18"/>
              <w:szCs w:val="18"/>
            </w:rPr>
          </w:pPr>
          <w:r w:rsidRPr="00743E22">
            <w:rPr>
              <w:rFonts w:ascii="ＭＳ ゴシック" w:eastAsia="ＭＳ ゴシック" w:hAnsi="ＭＳ ゴシック" w:hint="eastAsia"/>
              <w:color w:val="000000"/>
              <w:sz w:val="18"/>
              <w:szCs w:val="18"/>
            </w:rPr>
            <w:t xml:space="preserve">　　　　　　　　　　　　　　　　　　　</w:t>
          </w:r>
        </w:p>
        <w:p w14:paraId="38B339B8" w14:textId="77777777" w:rsidR="00671FC1" w:rsidRPr="00743E22" w:rsidRDefault="00671FC1" w:rsidP="00743E22">
          <w:pPr>
            <w:pStyle w:val="a4"/>
            <w:ind w:left="800" w:rightChars="-45" w:right="-94" w:hanging="800"/>
            <w:jc w:val="right"/>
            <w:rPr>
              <w:rFonts w:hAnsi="ＭＳ 明朝"/>
              <w:sz w:val="18"/>
              <w:szCs w:val="18"/>
            </w:rPr>
          </w:pPr>
        </w:p>
      </w:tc>
    </w:tr>
  </w:tbl>
  <w:p w14:paraId="549CD467" w14:textId="77777777" w:rsidR="00671FC1" w:rsidRDefault="00671FC1">
    <w:pPr>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422C6D" w:rsidRPr="00743E22" w14:paraId="3624B26E" w14:textId="77777777" w:rsidTr="00743E22">
      <w:trPr>
        <w:trHeight w:val="315"/>
      </w:trPr>
      <w:tc>
        <w:tcPr>
          <w:tcW w:w="3089" w:type="dxa"/>
          <w:shd w:val="clear" w:color="auto" w:fill="auto"/>
        </w:tcPr>
        <w:p w14:paraId="26657AC4" w14:textId="77777777" w:rsidR="00422C6D" w:rsidRPr="00743E22" w:rsidRDefault="00422C6D" w:rsidP="00743E22">
          <w:pPr>
            <w:pStyle w:val="a4"/>
            <w:ind w:left="800" w:rightChars="100" w:right="210" w:hanging="800"/>
            <w:rPr>
              <w:rFonts w:hAnsi="ＭＳ 明朝"/>
              <w:sz w:val="16"/>
              <w:szCs w:val="16"/>
            </w:rPr>
          </w:pPr>
        </w:p>
      </w:tc>
      <w:tc>
        <w:tcPr>
          <w:tcW w:w="3235" w:type="dxa"/>
          <w:shd w:val="clear" w:color="auto" w:fill="auto"/>
        </w:tcPr>
        <w:p w14:paraId="1E23704C" w14:textId="77777777" w:rsidR="00422C6D" w:rsidRPr="00743E22" w:rsidRDefault="00422C6D" w:rsidP="00743E22">
          <w:pPr>
            <w:pStyle w:val="a4"/>
            <w:ind w:left="800" w:rightChars="100" w:right="210" w:hanging="800"/>
            <w:jc w:val="center"/>
            <w:rPr>
              <w:rFonts w:hAnsi="ＭＳ 明朝"/>
              <w:sz w:val="16"/>
              <w:szCs w:val="16"/>
            </w:rPr>
          </w:pPr>
        </w:p>
      </w:tc>
      <w:tc>
        <w:tcPr>
          <w:tcW w:w="3334" w:type="dxa"/>
          <w:shd w:val="clear" w:color="auto" w:fill="auto"/>
        </w:tcPr>
        <w:p w14:paraId="5097C4D6" w14:textId="77777777" w:rsidR="00422C6D" w:rsidRPr="00743E22" w:rsidRDefault="00422C6D" w:rsidP="00743E22">
          <w:pPr>
            <w:ind w:rightChars="100" w:right="210"/>
            <w:jc w:val="center"/>
            <w:rPr>
              <w:rFonts w:ascii="ＭＳ ゴシック" w:eastAsia="ＭＳ ゴシック" w:hAnsi="ＭＳ ゴシック"/>
              <w:color w:val="000000"/>
              <w:sz w:val="18"/>
              <w:szCs w:val="18"/>
            </w:rPr>
          </w:pPr>
          <w:r w:rsidRPr="00743E22">
            <w:rPr>
              <w:rFonts w:ascii="ＭＳ ゴシック" w:eastAsia="ＭＳ ゴシック" w:hAnsi="ＭＳ ゴシック" w:hint="eastAsia"/>
              <w:color w:val="000000"/>
              <w:sz w:val="18"/>
              <w:szCs w:val="18"/>
            </w:rPr>
            <w:t xml:space="preserve">　　　　　　　　　　　　　　　　　　　</w:t>
          </w:r>
        </w:p>
        <w:p w14:paraId="69672C8B" w14:textId="77777777" w:rsidR="00422C6D" w:rsidRPr="00743E22" w:rsidRDefault="00422C6D" w:rsidP="00743E22">
          <w:pPr>
            <w:pStyle w:val="a4"/>
            <w:ind w:left="800" w:rightChars="-45" w:right="-94" w:hanging="800"/>
            <w:jc w:val="right"/>
            <w:rPr>
              <w:rFonts w:hAnsi="ＭＳ 明朝"/>
              <w:sz w:val="18"/>
              <w:szCs w:val="18"/>
            </w:rPr>
          </w:pPr>
        </w:p>
      </w:tc>
    </w:tr>
  </w:tbl>
  <w:p w14:paraId="38DDE8F3" w14:textId="77777777" w:rsidR="00422C6D" w:rsidRDefault="00422C6D">
    <w:pPr>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1B7B59" w:rsidRPr="00743E22" w14:paraId="371FA428" w14:textId="77777777" w:rsidTr="00743E22">
      <w:trPr>
        <w:trHeight w:val="315"/>
      </w:trPr>
      <w:tc>
        <w:tcPr>
          <w:tcW w:w="3089" w:type="dxa"/>
          <w:shd w:val="clear" w:color="auto" w:fill="auto"/>
        </w:tcPr>
        <w:p w14:paraId="5B0B952D" w14:textId="77777777" w:rsidR="001B7B59" w:rsidRPr="00743E22" w:rsidRDefault="001B7B59" w:rsidP="00743E22">
          <w:pPr>
            <w:pStyle w:val="a4"/>
            <w:ind w:left="800" w:rightChars="100" w:right="210" w:hanging="800"/>
            <w:rPr>
              <w:rFonts w:hAnsi="ＭＳ 明朝"/>
              <w:sz w:val="16"/>
              <w:szCs w:val="16"/>
            </w:rPr>
          </w:pPr>
        </w:p>
      </w:tc>
      <w:tc>
        <w:tcPr>
          <w:tcW w:w="3235" w:type="dxa"/>
          <w:shd w:val="clear" w:color="auto" w:fill="auto"/>
        </w:tcPr>
        <w:p w14:paraId="6666D4C2" w14:textId="77777777" w:rsidR="001B7B59" w:rsidRPr="00743E22" w:rsidRDefault="001B7B59" w:rsidP="00743E22">
          <w:pPr>
            <w:pStyle w:val="a4"/>
            <w:ind w:left="800" w:rightChars="100" w:right="210" w:hanging="800"/>
            <w:jc w:val="center"/>
            <w:rPr>
              <w:rFonts w:hAnsi="ＭＳ 明朝"/>
              <w:sz w:val="16"/>
              <w:szCs w:val="16"/>
            </w:rPr>
          </w:pPr>
        </w:p>
      </w:tc>
      <w:tc>
        <w:tcPr>
          <w:tcW w:w="3334" w:type="dxa"/>
          <w:shd w:val="clear" w:color="auto" w:fill="auto"/>
        </w:tcPr>
        <w:p w14:paraId="11FD0885" w14:textId="77777777" w:rsidR="001B7B59" w:rsidRPr="00743E22" w:rsidRDefault="001B7B59" w:rsidP="00743E22">
          <w:pPr>
            <w:ind w:rightChars="100" w:right="210"/>
            <w:jc w:val="center"/>
            <w:rPr>
              <w:rFonts w:ascii="ＭＳ ゴシック" w:eastAsia="ＭＳ ゴシック" w:hAnsi="ＭＳ ゴシック"/>
              <w:color w:val="000000"/>
              <w:sz w:val="18"/>
              <w:szCs w:val="18"/>
            </w:rPr>
          </w:pPr>
          <w:r w:rsidRPr="00743E22">
            <w:rPr>
              <w:rFonts w:ascii="ＭＳ ゴシック" w:eastAsia="ＭＳ ゴシック" w:hAnsi="ＭＳ ゴシック" w:hint="eastAsia"/>
              <w:color w:val="000000"/>
              <w:sz w:val="18"/>
              <w:szCs w:val="18"/>
            </w:rPr>
            <w:t xml:space="preserve">　　　　　　　　　　　　　　　　　　　</w:t>
          </w:r>
        </w:p>
        <w:p w14:paraId="333C9B54" w14:textId="77777777" w:rsidR="001B7B59" w:rsidRPr="00422C6D" w:rsidRDefault="001B7B59" w:rsidP="00743E22">
          <w:pPr>
            <w:pStyle w:val="a4"/>
            <w:ind w:left="800" w:rightChars="-45" w:right="-94" w:hanging="800"/>
            <w:jc w:val="right"/>
            <w:rPr>
              <w:rFonts w:hAnsi="ＭＳ 明朝"/>
              <w:sz w:val="24"/>
            </w:rPr>
          </w:pPr>
        </w:p>
      </w:tc>
    </w:tr>
  </w:tbl>
  <w:p w14:paraId="53E966AD" w14:textId="77777777" w:rsidR="001A4BFF" w:rsidRPr="00B258F0" w:rsidRDefault="001A4BF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34FE7" w14:textId="77777777" w:rsidR="001635BA" w:rsidRDefault="001635BA">
      <w:r>
        <w:separator/>
      </w:r>
    </w:p>
  </w:footnote>
  <w:footnote w:type="continuationSeparator" w:id="0">
    <w:p w14:paraId="515D126F" w14:textId="77777777" w:rsidR="001635BA" w:rsidRDefault="0016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5"/>
  <w:displayHorizontalDrawingGridEvery w:val="0"/>
  <w:characterSpacingControl w:val="compressPunctuation"/>
  <w:hdrShapeDefaults>
    <o:shapedefaults v:ext="edit" spidmax="532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7C6"/>
    <w:rsid w:val="0002359B"/>
    <w:rsid w:val="00052706"/>
    <w:rsid w:val="00063BDE"/>
    <w:rsid w:val="000A07A0"/>
    <w:rsid w:val="000A339E"/>
    <w:rsid w:val="000A4310"/>
    <w:rsid w:val="000C2106"/>
    <w:rsid w:val="000E4878"/>
    <w:rsid w:val="000F1AA2"/>
    <w:rsid w:val="000F513C"/>
    <w:rsid w:val="0010386A"/>
    <w:rsid w:val="00113657"/>
    <w:rsid w:val="00131619"/>
    <w:rsid w:val="0015257E"/>
    <w:rsid w:val="0015273B"/>
    <w:rsid w:val="001635BA"/>
    <w:rsid w:val="001649A1"/>
    <w:rsid w:val="001744C8"/>
    <w:rsid w:val="001875CC"/>
    <w:rsid w:val="001906F6"/>
    <w:rsid w:val="0019782C"/>
    <w:rsid w:val="001A4BFF"/>
    <w:rsid w:val="001B1CE2"/>
    <w:rsid w:val="001B2202"/>
    <w:rsid w:val="001B7B59"/>
    <w:rsid w:val="001C3D8C"/>
    <w:rsid w:val="001D0BED"/>
    <w:rsid w:val="001E556F"/>
    <w:rsid w:val="001E69F8"/>
    <w:rsid w:val="001E7495"/>
    <w:rsid w:val="001F58A0"/>
    <w:rsid w:val="00204E8B"/>
    <w:rsid w:val="00206882"/>
    <w:rsid w:val="00206A04"/>
    <w:rsid w:val="00207A4C"/>
    <w:rsid w:val="00211A7D"/>
    <w:rsid w:val="00211FB9"/>
    <w:rsid w:val="00213E5A"/>
    <w:rsid w:val="0023580E"/>
    <w:rsid w:val="00257344"/>
    <w:rsid w:val="00290ED5"/>
    <w:rsid w:val="002961AE"/>
    <w:rsid w:val="002B2C3F"/>
    <w:rsid w:val="002C48D0"/>
    <w:rsid w:val="002C7372"/>
    <w:rsid w:val="002E0C57"/>
    <w:rsid w:val="002F7D7D"/>
    <w:rsid w:val="0030427B"/>
    <w:rsid w:val="003138FF"/>
    <w:rsid w:val="00342BBE"/>
    <w:rsid w:val="00343222"/>
    <w:rsid w:val="00343B41"/>
    <w:rsid w:val="00375857"/>
    <w:rsid w:val="00382AE4"/>
    <w:rsid w:val="003A6E1E"/>
    <w:rsid w:val="003E4ABD"/>
    <w:rsid w:val="003F131A"/>
    <w:rsid w:val="004066C2"/>
    <w:rsid w:val="0041677D"/>
    <w:rsid w:val="00422AB2"/>
    <w:rsid w:val="00422C6D"/>
    <w:rsid w:val="00427AB1"/>
    <w:rsid w:val="004335CC"/>
    <w:rsid w:val="0044133D"/>
    <w:rsid w:val="00456D59"/>
    <w:rsid w:val="00483AF7"/>
    <w:rsid w:val="00496906"/>
    <w:rsid w:val="004C2402"/>
    <w:rsid w:val="004C7718"/>
    <w:rsid w:val="004E2B6C"/>
    <w:rsid w:val="004F3559"/>
    <w:rsid w:val="00516882"/>
    <w:rsid w:val="00542611"/>
    <w:rsid w:val="00562295"/>
    <w:rsid w:val="005708D7"/>
    <w:rsid w:val="005B5892"/>
    <w:rsid w:val="005C69DA"/>
    <w:rsid w:val="006216C7"/>
    <w:rsid w:val="006321AE"/>
    <w:rsid w:val="006444BF"/>
    <w:rsid w:val="00660109"/>
    <w:rsid w:val="00670FBC"/>
    <w:rsid w:val="00671FC1"/>
    <w:rsid w:val="00672BB5"/>
    <w:rsid w:val="00686869"/>
    <w:rsid w:val="006B2ADC"/>
    <w:rsid w:val="006B4C8E"/>
    <w:rsid w:val="006C60B9"/>
    <w:rsid w:val="00714B44"/>
    <w:rsid w:val="007157AE"/>
    <w:rsid w:val="007420E5"/>
    <w:rsid w:val="00743E22"/>
    <w:rsid w:val="007972D3"/>
    <w:rsid w:val="007A178C"/>
    <w:rsid w:val="007C168D"/>
    <w:rsid w:val="007C63D3"/>
    <w:rsid w:val="00800D0B"/>
    <w:rsid w:val="00810A07"/>
    <w:rsid w:val="00816FD9"/>
    <w:rsid w:val="0082532A"/>
    <w:rsid w:val="00831341"/>
    <w:rsid w:val="00844752"/>
    <w:rsid w:val="00855AA5"/>
    <w:rsid w:val="008B134A"/>
    <w:rsid w:val="008B773D"/>
    <w:rsid w:val="008B7B02"/>
    <w:rsid w:val="008D555E"/>
    <w:rsid w:val="00903E71"/>
    <w:rsid w:val="009070F7"/>
    <w:rsid w:val="00946478"/>
    <w:rsid w:val="00957E5C"/>
    <w:rsid w:val="009849F7"/>
    <w:rsid w:val="00997B76"/>
    <w:rsid w:val="009A1BAD"/>
    <w:rsid w:val="009B0825"/>
    <w:rsid w:val="009C75B1"/>
    <w:rsid w:val="009E6021"/>
    <w:rsid w:val="00A003FA"/>
    <w:rsid w:val="00A02BFF"/>
    <w:rsid w:val="00A114AF"/>
    <w:rsid w:val="00A25CA3"/>
    <w:rsid w:val="00A41B44"/>
    <w:rsid w:val="00A510A7"/>
    <w:rsid w:val="00AC08FF"/>
    <w:rsid w:val="00AD2AAE"/>
    <w:rsid w:val="00AE2A33"/>
    <w:rsid w:val="00AF0551"/>
    <w:rsid w:val="00B104AD"/>
    <w:rsid w:val="00B23146"/>
    <w:rsid w:val="00B34ED8"/>
    <w:rsid w:val="00B66456"/>
    <w:rsid w:val="00BB37A3"/>
    <w:rsid w:val="00C016FD"/>
    <w:rsid w:val="00C05F97"/>
    <w:rsid w:val="00C40486"/>
    <w:rsid w:val="00C4068D"/>
    <w:rsid w:val="00C646BC"/>
    <w:rsid w:val="00C66F9B"/>
    <w:rsid w:val="00C735F0"/>
    <w:rsid w:val="00CB022A"/>
    <w:rsid w:val="00CD2D77"/>
    <w:rsid w:val="00CE6715"/>
    <w:rsid w:val="00D11909"/>
    <w:rsid w:val="00D13C3D"/>
    <w:rsid w:val="00D23AF2"/>
    <w:rsid w:val="00D8149D"/>
    <w:rsid w:val="00D81E64"/>
    <w:rsid w:val="00D911C2"/>
    <w:rsid w:val="00D9245F"/>
    <w:rsid w:val="00DA262C"/>
    <w:rsid w:val="00DC0E71"/>
    <w:rsid w:val="00DD21AE"/>
    <w:rsid w:val="00DE41FF"/>
    <w:rsid w:val="00E61C20"/>
    <w:rsid w:val="00E72745"/>
    <w:rsid w:val="00E730E7"/>
    <w:rsid w:val="00EC08A5"/>
    <w:rsid w:val="00EC75F1"/>
    <w:rsid w:val="00ED1864"/>
    <w:rsid w:val="00ED3726"/>
    <w:rsid w:val="00F037C6"/>
    <w:rsid w:val="00F50E34"/>
    <w:rsid w:val="00F671FC"/>
    <w:rsid w:val="00F9130B"/>
    <w:rsid w:val="00FA7140"/>
    <w:rsid w:val="00FB2F91"/>
    <w:rsid w:val="00FB3839"/>
    <w:rsid w:val="00FB632E"/>
    <w:rsid w:val="00FE09DC"/>
    <w:rsid w:val="00FF0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stroke="f">
      <v:fill color="white"/>
      <v:stroke on="f"/>
      <v:textbox inset="5.85pt,.7pt,5.85pt,.7pt"/>
    </o:shapedefaults>
    <o:shapelayout v:ext="edit">
      <o:idmap v:ext="edit" data="1"/>
    </o:shapelayout>
  </w:shapeDefaults>
  <w:decimalSymbol w:val="."/>
  <w:listSeparator w:val=","/>
  <w14:docId w14:val="20C661A3"/>
  <w15:docId w15:val="{5A34792E-4628-4186-878B-8282B619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7B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Chars="100" w:left="630" w:hangingChars="200" w:hanging="420"/>
    </w:pPr>
  </w:style>
  <w:style w:type="paragraph" w:styleId="2">
    <w:name w:val="Body Text Indent 2"/>
    <w:basedOn w:val="a"/>
    <w:pPr>
      <w:spacing w:line="340" w:lineRule="exact"/>
      <w:ind w:leftChars="200" w:left="420" w:firstLineChars="100" w:firstLine="210"/>
    </w:pPr>
  </w:style>
  <w:style w:type="paragraph" w:styleId="3">
    <w:name w:val="Body Text Indent 3"/>
    <w:basedOn w:val="a"/>
    <w:pPr>
      <w:spacing w:line="340" w:lineRule="exact"/>
      <w:ind w:left="1050" w:hangingChars="500" w:hanging="1050"/>
    </w:pPr>
  </w:style>
  <w:style w:type="paragraph" w:styleId="a7">
    <w:name w:val="Body Text"/>
    <w:basedOn w:val="a"/>
    <w:pPr>
      <w:ind w:rightChars="100" w:right="210"/>
    </w:pPr>
    <w:rPr>
      <w:sz w:val="24"/>
    </w:rPr>
  </w:style>
  <w:style w:type="paragraph" w:styleId="a8">
    <w:name w:val="Plain Text"/>
    <w:basedOn w:val="a"/>
    <w:rPr>
      <w:rFonts w:ascii="ＭＳ 明朝" w:hAnsi="Courier New" w:cs="Courier New"/>
      <w:szCs w:val="21"/>
    </w:rPr>
  </w:style>
  <w:style w:type="character" w:styleId="a9">
    <w:name w:val="page number"/>
    <w:basedOn w:val="a0"/>
  </w:style>
  <w:style w:type="paragraph" w:styleId="aa">
    <w:name w:val="Note Heading"/>
    <w:basedOn w:val="a"/>
    <w:next w:val="a"/>
    <w:pPr>
      <w:widowControl/>
      <w:jc w:val="center"/>
    </w:pPr>
    <w:rPr>
      <w:rFonts w:ascii="ＭＳ 明朝" w:hAnsi="ＭＳ 明朝"/>
      <w:kern w:val="0"/>
    </w:rPr>
  </w:style>
  <w:style w:type="paragraph" w:styleId="ab">
    <w:name w:val="Closing"/>
    <w:basedOn w:val="a"/>
    <w:pPr>
      <w:widowControl/>
      <w:jc w:val="right"/>
    </w:pPr>
    <w:rPr>
      <w:rFonts w:ascii="ＭＳ 明朝" w:hAnsi="ＭＳ 明朝"/>
      <w:kern w:val="0"/>
    </w:rPr>
  </w:style>
  <w:style w:type="paragraph" w:styleId="ac">
    <w:name w:val="Date"/>
    <w:basedOn w:val="a"/>
    <w:next w:val="a"/>
    <w:pPr>
      <w:widowControl/>
      <w:jc w:val="left"/>
    </w:pPr>
    <w:rPr>
      <w:rFonts w:ascii="ＭＳ 明朝" w:hAnsi="ＭＳ 明朝"/>
      <w:kern w:val="0"/>
    </w:rPr>
  </w:style>
  <w:style w:type="paragraph" w:styleId="20">
    <w:name w:val="Body Text 2"/>
    <w:basedOn w:val="a"/>
    <w:pPr>
      <w:widowControl/>
    </w:pPr>
    <w:rPr>
      <w:rFonts w:ascii="Times New Roman" w:hAnsi="Times New Roman"/>
      <w:spacing w:val="-8"/>
      <w:kern w:val="0"/>
    </w:rPr>
  </w:style>
  <w:style w:type="paragraph" w:styleId="30">
    <w:name w:val="Body Text 3"/>
    <w:basedOn w:val="a"/>
    <w:pPr>
      <w:spacing w:line="260" w:lineRule="exact"/>
      <w:ind w:rightChars="500" w:right="966"/>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書式なし + 左 :  0 mm"/>
    <w:aliases w:val="ぶら下げインデント :  1 字,最初の行 :  -1 字"/>
    <w:basedOn w:val="a"/>
    <w:link w:val="0mmChar"/>
    <w:pPr>
      <w:autoSpaceDE w:val="0"/>
      <w:autoSpaceDN w:val="0"/>
      <w:adjustRightInd w:val="0"/>
      <w:jc w:val="left"/>
    </w:pPr>
  </w:style>
  <w:style w:type="character" w:customStyle="1" w:styleId="0mmChar">
    <w:name w:val="書式なし + 左 :  0 mm Char"/>
    <w:aliases w:val="ぶら下げインデント :  1 字 Char,最初の行 :  -1 字 Char"/>
    <w:link w:val="0mm"/>
    <w:rPr>
      <w:rFonts w:ascii="Century" w:eastAsia="ＭＳ 明朝" w:hAnsi="Century"/>
      <w:kern w:val="2"/>
      <w:sz w:val="21"/>
      <w:szCs w:val="24"/>
      <w:lang w:val="en-US" w:eastAsia="ja-JP" w:bidi="ar-SA"/>
    </w:rPr>
  </w:style>
  <w:style w:type="paragraph" w:customStyle="1" w:styleId="OasysWin">
    <w:name w:val="Oasys/Win"/>
    <w:pPr>
      <w:widowControl w:val="0"/>
      <w:wordWrap w:val="0"/>
      <w:autoSpaceDE w:val="0"/>
      <w:autoSpaceDN w:val="0"/>
      <w:adjustRightInd w:val="0"/>
      <w:spacing w:line="225" w:lineRule="exact"/>
      <w:jc w:val="both"/>
    </w:pPr>
    <w:rPr>
      <w:rFonts w:ascii="ＭＳ 明朝"/>
      <w:spacing w:val="2"/>
      <w:sz w:val="21"/>
      <w:szCs w:val="21"/>
    </w:rPr>
  </w:style>
  <w:style w:type="paragraph" w:customStyle="1" w:styleId="ae">
    <w:name w:val="ランワード"/>
    <w:pPr>
      <w:widowControl w:val="0"/>
      <w:wordWrap w:val="0"/>
      <w:autoSpaceDE w:val="0"/>
      <w:autoSpaceDN w:val="0"/>
      <w:adjustRightInd w:val="0"/>
      <w:spacing w:line="455" w:lineRule="atLeast"/>
      <w:jc w:val="both"/>
    </w:pPr>
    <w:rPr>
      <w:rFonts w:ascii="ＭＳ 明朝" w:hAnsi="ＭＳ 明朝"/>
      <w:sz w:val="21"/>
    </w:rPr>
  </w:style>
  <w:style w:type="paragraph" w:customStyle="1" w:styleId="2-0">
    <w:name w:val="本文2-0"/>
    <w:basedOn w:val="a7"/>
    <w:pPr>
      <w:autoSpaceDE w:val="0"/>
      <w:autoSpaceDN w:val="0"/>
      <w:ind w:left="200" w:rightChars="0" w:right="0"/>
    </w:pPr>
    <w:rPr>
      <w:rFonts w:ascii="ＭＳ 明朝"/>
      <w:sz w:val="21"/>
      <w:szCs w:val="20"/>
    </w:rPr>
  </w:style>
  <w:style w:type="paragraph" w:styleId="af">
    <w:name w:val="Balloon Text"/>
    <w:basedOn w:val="a"/>
    <w:semiHidden/>
    <w:rPr>
      <w:rFonts w:ascii="Arial" w:eastAsia="ＭＳ ゴシック" w:hAnsi="Arial"/>
      <w:sz w:val="18"/>
      <w:szCs w:val="18"/>
    </w:rPr>
  </w:style>
  <w:style w:type="character" w:customStyle="1" w:styleId="a5">
    <w:name w:val="フッター (文字)"/>
    <w:link w:val="a4"/>
    <w:rsid w:val="007A178C"/>
    <w:rPr>
      <w:rFonts w:ascii="Century" w:eastAsia="ＭＳ 明朝" w:hAnsi="Century"/>
      <w:kern w:val="2"/>
      <w:sz w:val="21"/>
      <w:szCs w:val="24"/>
      <w:lang w:val="en-US" w:eastAsia="ja-JP" w:bidi="ar-SA"/>
    </w:rPr>
  </w:style>
  <w:style w:type="paragraph" w:styleId="af0">
    <w:name w:val="annotation text"/>
    <w:basedOn w:val="a"/>
    <w:link w:val="af1"/>
    <w:unhideWhenUsed/>
    <w:rsid w:val="00A02BFF"/>
    <w:pPr>
      <w:jc w:val="left"/>
    </w:pPr>
    <w:rPr>
      <w:rFonts w:ascii="ＭＳ 明朝"/>
    </w:rPr>
  </w:style>
  <w:style w:type="character" w:customStyle="1" w:styleId="af1">
    <w:name w:val="コメント文字列 (文字)"/>
    <w:link w:val="af0"/>
    <w:rsid w:val="00A02BFF"/>
    <w:rPr>
      <w:rFonts w:ascii="ＭＳ 明朝"/>
      <w:kern w:val="2"/>
      <w:sz w:val="21"/>
      <w:szCs w:val="24"/>
    </w:rPr>
  </w:style>
  <w:style w:type="character" w:styleId="af2">
    <w:name w:val="annotation reference"/>
    <w:unhideWhenUsed/>
    <w:rsid w:val="00A02B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467370">
      <w:bodyDiv w:val="1"/>
      <w:marLeft w:val="0"/>
      <w:marRight w:val="0"/>
      <w:marTop w:val="0"/>
      <w:marBottom w:val="0"/>
      <w:divBdr>
        <w:top w:val="none" w:sz="0" w:space="0" w:color="auto"/>
        <w:left w:val="none" w:sz="0" w:space="0" w:color="auto"/>
        <w:bottom w:val="none" w:sz="0" w:space="0" w:color="auto"/>
        <w:right w:val="none" w:sz="0" w:space="0" w:color="auto"/>
      </w:divBdr>
    </w:div>
    <w:div w:id="1288664329">
      <w:bodyDiv w:val="1"/>
      <w:marLeft w:val="0"/>
      <w:marRight w:val="0"/>
      <w:marTop w:val="0"/>
      <w:marBottom w:val="0"/>
      <w:divBdr>
        <w:top w:val="none" w:sz="0" w:space="0" w:color="auto"/>
        <w:left w:val="none" w:sz="0" w:space="0" w:color="auto"/>
        <w:bottom w:val="none" w:sz="0" w:space="0" w:color="auto"/>
        <w:right w:val="none" w:sz="0" w:space="0" w:color="auto"/>
      </w:divBdr>
    </w:div>
    <w:div w:id="2050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2896-D20C-4F84-BAA5-6F65200C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547</Words>
  <Characters>3122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vt:lpstr>
      <vt:lpstr>参考資料</vt:lpstr>
    </vt:vector>
  </TitlesOfParts>
  <Company>農林中央金庫</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dc:title>
  <dc:creator>農林中央金庫</dc:creator>
  <cp:lastModifiedBy>G097001231</cp:lastModifiedBy>
  <cp:revision>43</cp:revision>
  <cp:lastPrinted>2024-09-30T02:04:00Z</cp:lastPrinted>
  <dcterms:created xsi:type="dcterms:W3CDTF">2019-02-04T05:27:00Z</dcterms:created>
  <dcterms:modified xsi:type="dcterms:W3CDTF">2024-11-16T01:48:00Z</dcterms:modified>
</cp:coreProperties>
</file>